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8A44F9" w:rsidP="00614ED4">
      <w:pPr>
        <w:pStyle w:val="a3"/>
        <w:jc w:val="center"/>
      </w:pPr>
      <w:r w:rsidRPr="000C4D08">
        <w:t>РОССТАТ</w:t>
      </w:r>
    </w:p>
    <w:p w:rsidR="00614ED4" w:rsidRDefault="008A44F9" w:rsidP="00614ED4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14ED4" w:rsidRPr="00BD52EB" w:rsidRDefault="008A44F9" w:rsidP="00614ED4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8A44F9" w:rsidP="00614ED4">
      <w:pPr>
        <w:jc w:val="center"/>
        <w:rPr>
          <w:sz w:val="28"/>
        </w:rPr>
      </w:pPr>
    </w:p>
    <w:p w:rsidR="00614ED4" w:rsidRDefault="008A44F9" w:rsidP="00614ED4">
      <w:pPr>
        <w:jc w:val="center"/>
        <w:rPr>
          <w:sz w:val="28"/>
        </w:rPr>
      </w:pPr>
    </w:p>
    <w:p w:rsidR="00614ED4" w:rsidRDefault="008A44F9" w:rsidP="00AE65AF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A4ED0" w:rsidRPr="008A4ED0" w:rsidRDefault="008A44F9" w:rsidP="008A4ED0">
      <w:pPr>
        <w:spacing w:line="240" w:lineRule="exact"/>
        <w:jc w:val="center"/>
        <w:rPr>
          <w:b/>
          <w:sz w:val="20"/>
          <w:szCs w:val="20"/>
        </w:rPr>
      </w:pPr>
    </w:p>
    <w:p w:rsidR="000D55C1" w:rsidRDefault="008A44F9" w:rsidP="00251C5B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DD3F75">
        <w:rPr>
          <w:rFonts w:ascii="Arial" w:hAnsi="Arial" w:cs="Arial"/>
          <w:b/>
          <w:sz w:val="26"/>
          <w:szCs w:val="26"/>
        </w:rPr>
        <w:t xml:space="preserve">Об </w:t>
      </w:r>
      <w:r>
        <w:rPr>
          <w:rFonts w:ascii="Arial" w:hAnsi="Arial" w:cs="Arial"/>
          <w:b/>
          <w:sz w:val="26"/>
          <w:szCs w:val="26"/>
        </w:rPr>
        <w:t xml:space="preserve">участии населения </w:t>
      </w:r>
      <w:r>
        <w:rPr>
          <w:rFonts w:ascii="Arial" w:hAnsi="Arial" w:cs="Arial"/>
          <w:b/>
          <w:sz w:val="26"/>
          <w:szCs w:val="26"/>
        </w:rPr>
        <w:t>Республики Тыва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251C5B" w:rsidRDefault="008A44F9" w:rsidP="00251C5B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непрерывном образовании в 2020 году</w:t>
      </w:r>
    </w:p>
    <w:p w:rsidR="00CC4A54" w:rsidRPr="00092F18" w:rsidRDefault="008A44F9" w:rsidP="00251C5B">
      <w:pPr>
        <w:pStyle w:val="ae"/>
        <w:jc w:val="center"/>
        <w:rPr>
          <w:rFonts w:ascii="Arial" w:hAnsi="Arial" w:cs="Arial"/>
          <w:sz w:val="26"/>
          <w:szCs w:val="26"/>
        </w:rPr>
      </w:pPr>
      <w:r w:rsidRPr="00092F18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по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населению </w:t>
      </w:r>
      <w:r w:rsidRPr="00092F18">
        <w:rPr>
          <w:rFonts w:ascii="Arial" w:hAnsi="Arial" w:cs="Arial"/>
          <w:sz w:val="26"/>
          <w:szCs w:val="26"/>
        </w:rPr>
        <w:t xml:space="preserve">в </w:t>
      </w:r>
      <w:r w:rsidRPr="00092F18">
        <w:rPr>
          <w:rFonts w:ascii="Arial" w:hAnsi="Arial" w:cs="Arial"/>
          <w:sz w:val="26"/>
          <w:szCs w:val="26"/>
        </w:rPr>
        <w:t>возрасте 15 лет и старше)</w:t>
      </w:r>
    </w:p>
    <w:p w:rsidR="00614ED4" w:rsidRDefault="008A44F9" w:rsidP="00AE65AF">
      <w:pPr>
        <w:spacing w:line="360" w:lineRule="exact"/>
        <w:jc w:val="center"/>
      </w:pPr>
      <w:r w:rsidRPr="00EF0E0C">
        <w:t xml:space="preserve"> (при использовании данных ссылка на Красноярскстат обязательна)</w:t>
      </w:r>
    </w:p>
    <w:p w:rsidR="00614ED4" w:rsidRDefault="008A44F9" w:rsidP="00AE65AF">
      <w:pPr>
        <w:spacing w:line="360" w:lineRule="exact"/>
        <w:jc w:val="center"/>
      </w:pPr>
    </w:p>
    <w:tbl>
      <w:tblPr>
        <w:tblW w:w="0" w:type="auto"/>
        <w:tblLook w:val="04A0"/>
      </w:tblPr>
      <w:tblGrid>
        <w:gridCol w:w="4928"/>
        <w:gridCol w:w="5103"/>
      </w:tblGrid>
      <w:tr w:rsidR="00AC4343" w:rsidTr="007C62BB">
        <w:tc>
          <w:tcPr>
            <w:tcW w:w="4928" w:type="dxa"/>
          </w:tcPr>
          <w:p w:rsidR="007C62BB" w:rsidRPr="00E35D4F" w:rsidRDefault="008A44F9" w:rsidP="00674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5103" w:type="dxa"/>
          </w:tcPr>
          <w:p w:rsidR="007C62BB" w:rsidRPr="00E35D4F" w:rsidRDefault="008A44F9" w:rsidP="009C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E35D4F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A8557D" w:rsidRDefault="008A44F9" w:rsidP="00075F67">
      <w:pPr>
        <w:rPr>
          <w:color w:val="FFFFFF"/>
          <w:sz w:val="28"/>
          <w:szCs w:val="28"/>
        </w:rPr>
      </w:pPr>
    </w:p>
    <w:p w:rsidR="009318E0" w:rsidRDefault="008A44F9" w:rsidP="009318E0">
      <w:pPr>
        <w:spacing w:line="40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Росстатом подведены итоги выборочного наблюдения</w:t>
      </w:r>
      <w:r w:rsidRPr="00310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непрерывном образовании, проведенного в 2020 году. В Республике Тыва уровень участия населения </w:t>
      </w:r>
      <w:r w:rsidRPr="00310C2C">
        <w:rPr>
          <w:sz w:val="28"/>
          <w:szCs w:val="28"/>
        </w:rPr>
        <w:t>в непрерывном образовании</w:t>
      </w:r>
      <w:r>
        <w:rPr>
          <w:sz w:val="28"/>
          <w:szCs w:val="28"/>
        </w:rPr>
        <w:t xml:space="preserve"> составил 54,7 процента, среди занятого населения – </w:t>
      </w:r>
      <w:r w:rsidRPr="009318E0">
        <w:rPr>
          <w:sz w:val="28"/>
          <w:szCs w:val="28"/>
        </w:rPr>
        <w:t>58,5 процента</w:t>
      </w:r>
      <w:r>
        <w:rPr>
          <w:sz w:val="28"/>
          <w:szCs w:val="28"/>
        </w:rPr>
        <w:t>, среди безработных – 46,6 процента.</w:t>
      </w:r>
    </w:p>
    <w:p w:rsidR="009318E0" w:rsidRDefault="008A44F9" w:rsidP="009318E0">
      <w:pPr>
        <w:spacing w:line="400" w:lineRule="exact"/>
        <w:ind w:firstLine="709"/>
        <w:jc w:val="both"/>
        <w:outlineLvl w:val="2"/>
        <w:rPr>
          <w:sz w:val="20"/>
          <w:szCs w:val="20"/>
        </w:rPr>
      </w:pPr>
      <w:r>
        <w:rPr>
          <w:sz w:val="28"/>
          <w:szCs w:val="28"/>
        </w:rPr>
        <w:t>Из всех участвовавших в непрерыв</w:t>
      </w:r>
      <w:r>
        <w:rPr>
          <w:sz w:val="28"/>
          <w:szCs w:val="28"/>
        </w:rPr>
        <w:t>ном образовании</w:t>
      </w:r>
      <w:r w:rsidRPr="008E08F6">
        <w:rPr>
          <w:sz w:val="28"/>
          <w:szCs w:val="28"/>
          <w:vertAlign w:val="superscript"/>
        </w:rPr>
        <w:t>1)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обучались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программам общего или профессионального образования (основного общего или среднего общего образования, среднего профессионального образования, высшего образования) </w:t>
      </w:r>
      <w:r>
        <w:rPr>
          <w:sz w:val="28"/>
          <w:szCs w:val="28"/>
        </w:rPr>
        <w:t xml:space="preserve">30,9 процента, </w:t>
      </w:r>
      <w:r>
        <w:rPr>
          <w:sz w:val="28"/>
          <w:szCs w:val="28"/>
        </w:rPr>
        <w:t xml:space="preserve">получали дополнительное образование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>или прох</w:t>
      </w:r>
      <w:r>
        <w:rPr>
          <w:sz w:val="28"/>
          <w:szCs w:val="28"/>
        </w:rPr>
        <w:t>одили профессиональное обучение</w:t>
      </w:r>
      <w:r>
        <w:rPr>
          <w:sz w:val="28"/>
          <w:szCs w:val="28"/>
        </w:rPr>
        <w:t xml:space="preserve"> 31,3 процента, </w:t>
      </w:r>
      <w:r>
        <w:rPr>
          <w:sz w:val="28"/>
          <w:szCs w:val="28"/>
        </w:rPr>
        <w:t>занимались</w:t>
      </w:r>
      <w:r w:rsidRPr="00597C06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самообразованием</w:t>
      </w:r>
      <w:r>
        <w:rPr>
          <w:sz w:val="28"/>
          <w:szCs w:val="28"/>
        </w:rPr>
        <w:t xml:space="preserve"> 88,5 процента</w:t>
      </w:r>
      <w:r w:rsidR="00AC4343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9.25pt;margin-top:19.4pt;width:27.75pt;height:9.75pt;z-index:251658240;mso-position-horizontal-relative:text;mso-position-vertical-relative:text" o:connectortype="straight"/>
        </w:pict>
      </w:r>
      <w:r>
        <w:rPr>
          <w:sz w:val="28"/>
          <w:szCs w:val="28"/>
        </w:rPr>
        <w:t>.</w:t>
      </w:r>
    </w:p>
    <w:p w:rsidR="009318E0" w:rsidRDefault="008A44F9" w:rsidP="009318E0">
      <w:pPr>
        <w:spacing w:line="40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Среди лиц, принимавших участие в дополнительном образовании                       или профессиональном обучении, </w:t>
      </w:r>
      <w:r>
        <w:rPr>
          <w:sz w:val="28"/>
          <w:szCs w:val="28"/>
        </w:rPr>
        <w:t>около половины</w:t>
      </w:r>
      <w:bookmarkStart w:id="0" w:name="_GoBack"/>
      <w:bookmarkEnd w:id="0"/>
      <w:r>
        <w:rPr>
          <w:sz w:val="28"/>
          <w:szCs w:val="28"/>
        </w:rPr>
        <w:t xml:space="preserve"> (47,8 процента) приобретали знания по предложению организации, работодателя, а также по личной инициативе (37,5 процента). </w:t>
      </w:r>
    </w:p>
    <w:p w:rsidR="001E43C9" w:rsidRDefault="008A44F9" w:rsidP="001E43C9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участвовавших в дополнительном образован</w:t>
      </w:r>
      <w:r>
        <w:rPr>
          <w:sz w:val="28"/>
          <w:szCs w:val="28"/>
        </w:rPr>
        <w:t>ии или профессиональном обучении</w:t>
      </w:r>
      <w:r>
        <w:rPr>
          <w:sz w:val="28"/>
          <w:szCs w:val="28"/>
        </w:rPr>
        <w:t xml:space="preserve"> являлись: получение новых знаний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r>
        <w:rPr>
          <w:sz w:val="28"/>
          <w:szCs w:val="28"/>
        </w:rPr>
        <w:t>50,5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обследуемого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вш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дополнительное образование</w:t>
      </w:r>
      <w:r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проходившего</w:t>
      </w:r>
      <w:r>
        <w:rPr>
          <w:sz w:val="28"/>
          <w:szCs w:val="28"/>
        </w:rPr>
        <w:t xml:space="preserve"> профессиональное обучение</w:t>
      </w:r>
      <w:r>
        <w:rPr>
          <w:sz w:val="28"/>
          <w:szCs w:val="28"/>
        </w:rPr>
        <w:t>), достижение более высоких результатов работы (</w:t>
      </w:r>
      <w:r>
        <w:rPr>
          <w:sz w:val="28"/>
          <w:szCs w:val="28"/>
        </w:rPr>
        <w:t>16,2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), </w:t>
      </w:r>
      <w:r w:rsidRPr="00DE66CC">
        <w:rPr>
          <w:sz w:val="28"/>
          <w:szCs w:val="28"/>
        </w:rPr>
        <w:t xml:space="preserve">устройство </w:t>
      </w:r>
      <w:r>
        <w:rPr>
          <w:sz w:val="28"/>
          <w:szCs w:val="28"/>
        </w:rPr>
        <w:br/>
      </w:r>
      <w:r w:rsidRPr="00DE66CC">
        <w:rPr>
          <w:sz w:val="28"/>
          <w:szCs w:val="28"/>
        </w:rPr>
        <w:t>на работу, полу</w:t>
      </w:r>
      <w:r w:rsidRPr="00DE66CC">
        <w:rPr>
          <w:sz w:val="28"/>
          <w:szCs w:val="28"/>
        </w:rPr>
        <w:t>чение новой работы</w:t>
      </w:r>
      <w:r>
        <w:rPr>
          <w:sz w:val="28"/>
          <w:szCs w:val="28"/>
        </w:rPr>
        <w:t xml:space="preserve"> (12 процентов), </w:t>
      </w:r>
      <w:r w:rsidRPr="00DE66CC">
        <w:rPr>
          <w:sz w:val="28"/>
          <w:szCs w:val="28"/>
        </w:rPr>
        <w:t>повышение заработной платы</w:t>
      </w:r>
      <w:r>
        <w:rPr>
          <w:sz w:val="28"/>
          <w:szCs w:val="28"/>
        </w:rPr>
        <w:t xml:space="preserve"> (7,9 процента),</w:t>
      </w:r>
      <w:r>
        <w:rPr>
          <w:sz w:val="28"/>
          <w:szCs w:val="28"/>
        </w:rPr>
        <w:t xml:space="preserve"> а также продвижение по службе (</w:t>
      </w:r>
      <w:r>
        <w:rPr>
          <w:sz w:val="28"/>
          <w:szCs w:val="28"/>
        </w:rPr>
        <w:t>6,9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E08F6" w:rsidRDefault="008A44F9" w:rsidP="008E08F6">
      <w:pPr>
        <w:tabs>
          <w:tab w:val="left" w:pos="238"/>
        </w:tabs>
        <w:jc w:val="both"/>
        <w:outlineLvl w:val="2"/>
        <w:rPr>
          <w:sz w:val="20"/>
          <w:szCs w:val="20"/>
        </w:rPr>
      </w:pPr>
    </w:p>
    <w:p w:rsidR="009318E0" w:rsidRDefault="008A44F9" w:rsidP="008E08F6">
      <w:pPr>
        <w:tabs>
          <w:tab w:val="left" w:pos="238"/>
        </w:tabs>
        <w:jc w:val="both"/>
        <w:outlineLvl w:val="2"/>
        <w:rPr>
          <w:sz w:val="20"/>
          <w:szCs w:val="20"/>
          <w:vertAlign w:val="superscript"/>
        </w:rPr>
      </w:pPr>
    </w:p>
    <w:p w:rsidR="009318E0" w:rsidRDefault="008A44F9" w:rsidP="008E08F6">
      <w:pPr>
        <w:tabs>
          <w:tab w:val="left" w:pos="238"/>
        </w:tabs>
        <w:jc w:val="both"/>
        <w:outlineLvl w:val="2"/>
        <w:rPr>
          <w:sz w:val="20"/>
          <w:szCs w:val="20"/>
          <w:vertAlign w:val="superscript"/>
        </w:rPr>
      </w:pPr>
    </w:p>
    <w:p w:rsidR="009318E0" w:rsidRDefault="008A44F9" w:rsidP="008E08F6">
      <w:pPr>
        <w:tabs>
          <w:tab w:val="left" w:pos="238"/>
        </w:tabs>
        <w:jc w:val="both"/>
        <w:outlineLvl w:val="2"/>
        <w:rPr>
          <w:sz w:val="20"/>
          <w:szCs w:val="20"/>
          <w:vertAlign w:val="superscript"/>
        </w:rPr>
      </w:pPr>
    </w:p>
    <w:p w:rsidR="009318E0" w:rsidRDefault="008A44F9" w:rsidP="008E08F6">
      <w:pPr>
        <w:tabs>
          <w:tab w:val="left" w:pos="238"/>
        </w:tabs>
        <w:jc w:val="both"/>
        <w:outlineLvl w:val="2"/>
        <w:rPr>
          <w:sz w:val="20"/>
          <w:szCs w:val="20"/>
          <w:vertAlign w:val="superscript"/>
        </w:rPr>
      </w:pPr>
    </w:p>
    <w:p w:rsidR="008E08F6" w:rsidRPr="00636BE1" w:rsidRDefault="008A44F9" w:rsidP="008E08F6">
      <w:pPr>
        <w:tabs>
          <w:tab w:val="left" w:pos="238"/>
        </w:tabs>
        <w:jc w:val="both"/>
        <w:outlineLvl w:val="2"/>
        <w:rPr>
          <w:color w:val="FF0000"/>
          <w:sz w:val="20"/>
          <w:szCs w:val="20"/>
        </w:rPr>
      </w:pPr>
      <w:r w:rsidRPr="008E08F6">
        <w:rPr>
          <w:sz w:val="20"/>
          <w:szCs w:val="20"/>
          <w:vertAlign w:val="superscript"/>
        </w:rPr>
        <w:t>1)</w:t>
      </w:r>
      <w:r w:rsidRPr="008E08F6">
        <w:rPr>
          <w:sz w:val="20"/>
          <w:szCs w:val="20"/>
        </w:rPr>
        <w:t xml:space="preserve"> По формам участия в непрерывном образовании приведены данные одновременно по нескольким видам образования</w:t>
      </w:r>
      <w:r w:rsidRPr="00636BE1">
        <w:rPr>
          <w:color w:val="FF0000"/>
          <w:sz w:val="20"/>
          <w:szCs w:val="20"/>
        </w:rPr>
        <w:t>.</w:t>
      </w:r>
    </w:p>
    <w:p w:rsidR="008E08F6" w:rsidRDefault="008A44F9" w:rsidP="008C6407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</w:p>
    <w:p w:rsidR="008E08F6" w:rsidRDefault="008A44F9" w:rsidP="008C6407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</w:p>
    <w:p w:rsidR="00CC5AD1" w:rsidRDefault="008A44F9" w:rsidP="008C6407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Лица, занимавшиеся самообразованием, в основном </w:t>
      </w:r>
      <w:r>
        <w:rPr>
          <w:sz w:val="28"/>
          <w:szCs w:val="28"/>
        </w:rPr>
        <w:t xml:space="preserve">участвовали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обучении, освоении нового при участии друзей, коллег, членов семьи </w:t>
      </w:r>
      <w:r>
        <w:rPr>
          <w:sz w:val="28"/>
          <w:szCs w:val="28"/>
        </w:rPr>
        <w:br/>
      </w:r>
      <w:r>
        <w:rPr>
          <w:sz w:val="28"/>
          <w:szCs w:val="28"/>
        </w:rPr>
        <w:t>(</w:t>
      </w:r>
      <w:r>
        <w:rPr>
          <w:sz w:val="28"/>
          <w:szCs w:val="28"/>
        </w:rPr>
        <w:t>5</w:t>
      </w:r>
      <w:r>
        <w:rPr>
          <w:sz w:val="28"/>
          <w:szCs w:val="28"/>
        </w:rPr>
        <w:t>5,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населения, занимавшегося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самообразованием), </w:t>
      </w:r>
      <w:r>
        <w:rPr>
          <w:sz w:val="28"/>
          <w:szCs w:val="28"/>
        </w:rPr>
        <w:t>прослушивали                   или просматривали передачи учебного</w:t>
      </w:r>
      <w:r>
        <w:rPr>
          <w:sz w:val="28"/>
          <w:szCs w:val="28"/>
        </w:rPr>
        <w:t xml:space="preserve"> характера в сети «Интернет»</w:t>
      </w:r>
      <w:r w:rsidRPr="003625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(38,2 процента)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телевидению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t>обучались с использованием аудио-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и видеозаписей (2</w:t>
      </w:r>
      <w:r>
        <w:rPr>
          <w:sz w:val="28"/>
          <w:szCs w:val="28"/>
        </w:rPr>
        <w:t>2,</w:t>
      </w:r>
      <w:r>
        <w:rPr>
          <w:sz w:val="28"/>
          <w:szCs w:val="28"/>
        </w:rPr>
        <w:t>5 процента).</w:t>
      </w:r>
    </w:p>
    <w:p w:rsidR="0071349B" w:rsidRDefault="008A44F9" w:rsidP="008C6407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Население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всего </w:t>
      </w:r>
      <w:r>
        <w:rPr>
          <w:sz w:val="28"/>
          <w:szCs w:val="28"/>
        </w:rPr>
        <w:t>интересовали вопросы здоровья, здорового образа жизни (</w:t>
      </w:r>
      <w:r>
        <w:rPr>
          <w:sz w:val="28"/>
          <w:szCs w:val="28"/>
        </w:rPr>
        <w:t>39,1</w:t>
      </w:r>
      <w:r>
        <w:rPr>
          <w:sz w:val="28"/>
          <w:szCs w:val="28"/>
        </w:rPr>
        <w:t xml:space="preserve"> процента</w:t>
      </w:r>
      <w:r w:rsidRPr="002E14B7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населения, занима</w:t>
      </w:r>
      <w:r>
        <w:rPr>
          <w:sz w:val="28"/>
          <w:szCs w:val="28"/>
        </w:rPr>
        <w:t>вш</w:t>
      </w:r>
      <w:r>
        <w:rPr>
          <w:sz w:val="28"/>
          <w:szCs w:val="28"/>
        </w:rPr>
        <w:t xml:space="preserve">егося </w:t>
      </w:r>
      <w:r>
        <w:rPr>
          <w:sz w:val="28"/>
          <w:szCs w:val="28"/>
        </w:rPr>
        <w:t>самообразованием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изучения финансовой и бюджетной грамотности, грамотности в сфере ЖКХ, государственных услуг (34 процента),</w:t>
      </w:r>
      <w:r w:rsidRPr="0071349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71349B">
        <w:rPr>
          <w:sz w:val="28"/>
          <w:szCs w:val="28"/>
        </w:rPr>
        <w:t xml:space="preserve">знаний или навыков </w:t>
      </w:r>
      <w:r>
        <w:rPr>
          <w:sz w:val="28"/>
          <w:szCs w:val="28"/>
        </w:rPr>
        <w:br/>
      </w:r>
      <w:r w:rsidRPr="0071349B">
        <w:rPr>
          <w:sz w:val="28"/>
          <w:szCs w:val="28"/>
        </w:rPr>
        <w:t xml:space="preserve">по использованию </w:t>
      </w:r>
      <w:r>
        <w:rPr>
          <w:sz w:val="28"/>
          <w:szCs w:val="28"/>
        </w:rPr>
        <w:t xml:space="preserve">новых бытовых технических средств </w:t>
      </w:r>
      <w:r w:rsidRPr="001F5E33">
        <w:rPr>
          <w:sz w:val="28"/>
          <w:szCs w:val="28"/>
        </w:rPr>
        <w:t>(мобильны</w:t>
      </w:r>
      <w:r>
        <w:rPr>
          <w:sz w:val="28"/>
          <w:szCs w:val="28"/>
        </w:rPr>
        <w:t>й</w:t>
      </w:r>
      <w:r w:rsidRPr="001F5E33">
        <w:rPr>
          <w:sz w:val="28"/>
          <w:szCs w:val="28"/>
        </w:rPr>
        <w:t xml:space="preserve"> телефон, «умный» дом и другое) </w:t>
      </w:r>
      <w:r>
        <w:rPr>
          <w:sz w:val="28"/>
          <w:szCs w:val="28"/>
        </w:rPr>
        <w:t>(28,6 п</w:t>
      </w:r>
      <w:r>
        <w:rPr>
          <w:sz w:val="28"/>
          <w:szCs w:val="28"/>
        </w:rPr>
        <w:t xml:space="preserve">роцента), </w:t>
      </w:r>
      <w:r>
        <w:rPr>
          <w:sz w:val="28"/>
          <w:szCs w:val="28"/>
        </w:rPr>
        <w:t>компьютера (</w:t>
      </w:r>
      <w:r>
        <w:rPr>
          <w:sz w:val="28"/>
          <w:szCs w:val="28"/>
        </w:rPr>
        <w:t>2</w:t>
      </w:r>
      <w:r>
        <w:rPr>
          <w:sz w:val="28"/>
          <w:szCs w:val="28"/>
        </w:rPr>
        <w:t>0,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процента)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уделялось внимание </w:t>
      </w:r>
      <w:r w:rsidRPr="0071349B">
        <w:rPr>
          <w:sz w:val="28"/>
          <w:szCs w:val="28"/>
        </w:rPr>
        <w:t>освоени</w:t>
      </w:r>
      <w:r>
        <w:rPr>
          <w:sz w:val="28"/>
          <w:szCs w:val="28"/>
        </w:rPr>
        <w:t>ю</w:t>
      </w:r>
      <w:r w:rsidRPr="0071349B">
        <w:rPr>
          <w:sz w:val="28"/>
          <w:szCs w:val="28"/>
        </w:rPr>
        <w:t xml:space="preserve"> навыков прикладного рукоделия </w:t>
      </w:r>
      <w:r>
        <w:rPr>
          <w:sz w:val="28"/>
          <w:szCs w:val="28"/>
        </w:rPr>
        <w:br/>
      </w:r>
      <w:r w:rsidRPr="0071349B">
        <w:rPr>
          <w:sz w:val="28"/>
          <w:szCs w:val="28"/>
        </w:rPr>
        <w:t xml:space="preserve">и </w:t>
      </w:r>
      <w:r>
        <w:rPr>
          <w:sz w:val="28"/>
          <w:szCs w:val="28"/>
        </w:rPr>
        <w:t>художественного творчества (игре</w:t>
      </w:r>
      <w:r w:rsidRPr="0071349B">
        <w:rPr>
          <w:sz w:val="28"/>
          <w:szCs w:val="28"/>
        </w:rPr>
        <w:t xml:space="preserve"> на музыкальных инструментах, пени</w:t>
      </w:r>
      <w:r>
        <w:rPr>
          <w:sz w:val="28"/>
          <w:szCs w:val="28"/>
        </w:rPr>
        <w:t>ю</w:t>
      </w:r>
      <w:r w:rsidRPr="0071349B">
        <w:rPr>
          <w:sz w:val="28"/>
          <w:szCs w:val="28"/>
        </w:rPr>
        <w:t>, рисовани</w:t>
      </w:r>
      <w:r>
        <w:rPr>
          <w:sz w:val="28"/>
          <w:szCs w:val="28"/>
        </w:rPr>
        <w:t>ю</w:t>
      </w:r>
      <w:r w:rsidRPr="0071349B">
        <w:rPr>
          <w:sz w:val="28"/>
          <w:szCs w:val="28"/>
        </w:rPr>
        <w:t>, танц</w:t>
      </w:r>
      <w:r>
        <w:rPr>
          <w:sz w:val="28"/>
          <w:szCs w:val="28"/>
        </w:rPr>
        <w:t>ам</w:t>
      </w:r>
      <w:r w:rsidRPr="0071349B">
        <w:rPr>
          <w:sz w:val="28"/>
          <w:szCs w:val="28"/>
        </w:rPr>
        <w:t xml:space="preserve"> и т.п.)</w:t>
      </w:r>
      <w:r>
        <w:rPr>
          <w:sz w:val="28"/>
          <w:szCs w:val="28"/>
        </w:rPr>
        <w:t xml:space="preserve"> (7,8 процента), изучению правовых, юридических вопросов (5,4 процента) и </w:t>
      </w:r>
      <w:r w:rsidRPr="0071349B">
        <w:rPr>
          <w:sz w:val="28"/>
          <w:szCs w:val="28"/>
        </w:rPr>
        <w:t>иностранного языка</w:t>
      </w:r>
      <w:r>
        <w:rPr>
          <w:sz w:val="28"/>
          <w:szCs w:val="28"/>
        </w:rPr>
        <w:t xml:space="preserve"> (5,3 процента).</w:t>
      </w:r>
    </w:p>
    <w:p w:rsidR="0071349B" w:rsidRDefault="008A44F9" w:rsidP="008C6407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</w:p>
    <w:p w:rsidR="00C462EB" w:rsidRDefault="008A44F9" w:rsidP="00D95820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62EB" w:rsidSect="004E591E">
      <w:headerReference w:type="even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F9" w:rsidRDefault="008A44F9" w:rsidP="00AC4343">
      <w:r>
        <w:separator/>
      </w:r>
    </w:p>
  </w:endnote>
  <w:endnote w:type="continuationSeparator" w:id="0">
    <w:p w:rsidR="008A44F9" w:rsidRDefault="008A44F9" w:rsidP="00AC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F9" w:rsidRDefault="008A44F9" w:rsidP="00AC4343">
      <w:r>
        <w:separator/>
      </w:r>
    </w:p>
  </w:footnote>
  <w:footnote w:type="continuationSeparator" w:id="0">
    <w:p w:rsidR="008A44F9" w:rsidRDefault="008A44F9" w:rsidP="00AC4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5B" w:rsidRDefault="00AC43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A44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45B" w:rsidRDefault="008A44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F2D"/>
    <w:multiLevelType w:val="multilevel"/>
    <w:tmpl w:val="5686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F3D1D"/>
    <w:multiLevelType w:val="hybridMultilevel"/>
    <w:tmpl w:val="62D4D9D2"/>
    <w:lvl w:ilvl="0" w:tplc="25DAA3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746CF430" w:tentative="1">
      <w:start w:val="1"/>
      <w:numFmt w:val="lowerLetter"/>
      <w:lvlText w:val="%2."/>
      <w:lvlJc w:val="left"/>
      <w:pPr>
        <w:ind w:left="1440" w:hanging="360"/>
      </w:pPr>
    </w:lvl>
    <w:lvl w:ilvl="2" w:tplc="8FFAE876" w:tentative="1">
      <w:start w:val="1"/>
      <w:numFmt w:val="lowerRoman"/>
      <w:lvlText w:val="%3."/>
      <w:lvlJc w:val="right"/>
      <w:pPr>
        <w:ind w:left="2160" w:hanging="180"/>
      </w:pPr>
    </w:lvl>
    <w:lvl w:ilvl="3" w:tplc="8F6CA778" w:tentative="1">
      <w:start w:val="1"/>
      <w:numFmt w:val="decimal"/>
      <w:lvlText w:val="%4."/>
      <w:lvlJc w:val="left"/>
      <w:pPr>
        <w:ind w:left="2880" w:hanging="360"/>
      </w:pPr>
    </w:lvl>
    <w:lvl w:ilvl="4" w:tplc="26C0E3F6" w:tentative="1">
      <w:start w:val="1"/>
      <w:numFmt w:val="lowerLetter"/>
      <w:lvlText w:val="%5."/>
      <w:lvlJc w:val="left"/>
      <w:pPr>
        <w:ind w:left="3600" w:hanging="360"/>
      </w:pPr>
    </w:lvl>
    <w:lvl w:ilvl="5" w:tplc="D2A483E8" w:tentative="1">
      <w:start w:val="1"/>
      <w:numFmt w:val="lowerRoman"/>
      <w:lvlText w:val="%6."/>
      <w:lvlJc w:val="right"/>
      <w:pPr>
        <w:ind w:left="4320" w:hanging="180"/>
      </w:pPr>
    </w:lvl>
    <w:lvl w:ilvl="6" w:tplc="C880557E" w:tentative="1">
      <w:start w:val="1"/>
      <w:numFmt w:val="decimal"/>
      <w:lvlText w:val="%7."/>
      <w:lvlJc w:val="left"/>
      <w:pPr>
        <w:ind w:left="5040" w:hanging="360"/>
      </w:pPr>
    </w:lvl>
    <w:lvl w:ilvl="7" w:tplc="550410BC" w:tentative="1">
      <w:start w:val="1"/>
      <w:numFmt w:val="lowerLetter"/>
      <w:lvlText w:val="%8."/>
      <w:lvlJc w:val="left"/>
      <w:pPr>
        <w:ind w:left="5760" w:hanging="360"/>
      </w:pPr>
    </w:lvl>
    <w:lvl w:ilvl="8" w:tplc="7A28E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2C6"/>
    <w:multiLevelType w:val="multilevel"/>
    <w:tmpl w:val="D41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343"/>
    <w:rsid w:val="008A44F9"/>
    <w:rsid w:val="008C0C17"/>
    <w:rsid w:val="00AC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BE"/>
    <w:rPr>
      <w:sz w:val="24"/>
      <w:szCs w:val="24"/>
    </w:rPr>
  </w:style>
  <w:style w:type="paragraph" w:styleId="1">
    <w:name w:val="heading 1"/>
    <w:basedOn w:val="a"/>
    <w:next w:val="a"/>
    <w:qFormat/>
    <w:rsid w:val="00D562B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62B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D562B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D562B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562B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D562B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562B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D562B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62BE"/>
    <w:rPr>
      <w:sz w:val="28"/>
    </w:rPr>
  </w:style>
  <w:style w:type="paragraph" w:styleId="a4">
    <w:name w:val="Body Text Indent"/>
    <w:basedOn w:val="a"/>
    <w:link w:val="a5"/>
    <w:rsid w:val="00D562B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D562BE"/>
    <w:pPr>
      <w:keepNext/>
      <w:jc w:val="both"/>
    </w:pPr>
  </w:style>
  <w:style w:type="paragraph" w:styleId="30">
    <w:name w:val="Body Text Indent 3"/>
    <w:basedOn w:val="a"/>
    <w:rsid w:val="00D562B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D562B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D562B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D562B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D562B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D562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62BE"/>
  </w:style>
  <w:style w:type="character" w:styleId="aa">
    <w:name w:val="Hyperlink"/>
    <w:basedOn w:val="a0"/>
    <w:rsid w:val="00D562BE"/>
    <w:rPr>
      <w:color w:val="0000FF"/>
      <w:u w:val="single"/>
    </w:rPr>
  </w:style>
  <w:style w:type="paragraph" w:styleId="23">
    <w:name w:val="Body Text Indent 2"/>
    <w:basedOn w:val="a"/>
    <w:rsid w:val="00D562B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D562BE"/>
    <w:pPr>
      <w:widowControl w:val="0"/>
    </w:pPr>
    <w:rPr>
      <w:snapToGrid w:val="0"/>
    </w:rPr>
  </w:style>
  <w:style w:type="table" w:styleId="ab">
    <w:name w:val="Table Grid"/>
    <w:basedOn w:val="a1"/>
    <w:uiPriority w:val="59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51C5B"/>
    <w:rPr>
      <w:rFonts w:ascii="Courier New" w:hAnsi="Courier New"/>
    </w:rPr>
  </w:style>
  <w:style w:type="paragraph" w:customStyle="1" w:styleId="11">
    <w:name w:val="Основной текст1"/>
    <w:basedOn w:val="a"/>
    <w:rsid w:val="00735299"/>
    <w:pPr>
      <w:jc w:val="center"/>
    </w:pPr>
    <w:rPr>
      <w:b/>
      <w:i/>
      <w:snapToGrid w:val="0"/>
      <w:sz w:val="28"/>
      <w:szCs w:val="20"/>
      <w:u w:val="single"/>
    </w:rPr>
  </w:style>
  <w:style w:type="paragraph" w:styleId="af0">
    <w:name w:val="Normal (Web)"/>
    <w:basedOn w:val="a"/>
    <w:uiPriority w:val="99"/>
    <w:unhideWhenUsed/>
    <w:rsid w:val="00542D8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42D84"/>
    <w:rPr>
      <w:b/>
      <w:bCs/>
    </w:rPr>
  </w:style>
  <w:style w:type="character" w:styleId="af2">
    <w:name w:val="Emphasis"/>
    <w:basedOn w:val="a0"/>
    <w:uiPriority w:val="20"/>
    <w:qFormat/>
    <w:rsid w:val="00542D84"/>
    <w:rPr>
      <w:i/>
      <w:iCs/>
    </w:rPr>
  </w:style>
  <w:style w:type="paragraph" w:styleId="af3">
    <w:name w:val="Title"/>
    <w:basedOn w:val="a"/>
    <w:link w:val="af4"/>
    <w:uiPriority w:val="99"/>
    <w:qFormat/>
    <w:rsid w:val="00A64901"/>
    <w:pPr>
      <w:spacing w:after="200" w:line="276" w:lineRule="auto"/>
      <w:jc w:val="center"/>
    </w:pPr>
    <w:rPr>
      <w:rFonts w:asciiTheme="minorHAnsi" w:hAnsiTheme="minorHAnsi" w:cstheme="minorBidi"/>
      <w:b/>
      <w:sz w:val="2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901"/>
    <w:rPr>
      <w:rFonts w:asciiTheme="minorHAnsi" w:hAnsiTheme="minorHAnsi" w:cstheme="minorBidi"/>
      <w:b/>
      <w:sz w:val="22"/>
    </w:rPr>
  </w:style>
  <w:style w:type="character" w:styleId="af5">
    <w:name w:val="annotation reference"/>
    <w:basedOn w:val="a0"/>
    <w:rsid w:val="00B3168E"/>
    <w:rPr>
      <w:sz w:val="16"/>
      <w:szCs w:val="16"/>
    </w:rPr>
  </w:style>
  <w:style w:type="paragraph" w:styleId="af6">
    <w:name w:val="annotation text"/>
    <w:basedOn w:val="a"/>
    <w:link w:val="af7"/>
    <w:rsid w:val="00B3168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3168E"/>
  </w:style>
  <w:style w:type="paragraph" w:styleId="af8">
    <w:name w:val="annotation subject"/>
    <w:basedOn w:val="af6"/>
    <w:next w:val="af6"/>
    <w:link w:val="af9"/>
    <w:rsid w:val="00B3168E"/>
    <w:rPr>
      <w:b/>
      <w:bCs/>
    </w:rPr>
  </w:style>
  <w:style w:type="character" w:customStyle="1" w:styleId="af9">
    <w:name w:val="Тема примечания Знак"/>
    <w:basedOn w:val="af7"/>
    <w:link w:val="af8"/>
    <w:rsid w:val="00B3168E"/>
    <w:rPr>
      <w:b/>
      <w:bCs/>
    </w:rPr>
  </w:style>
  <w:style w:type="character" w:styleId="afa">
    <w:name w:val="FollowedHyperlink"/>
    <w:basedOn w:val="a0"/>
    <w:rsid w:val="00B316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7CD1-7F43-4511-837C-0148686D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P24_TarasovAV</cp:lastModifiedBy>
  <cp:revision>2</cp:revision>
  <cp:lastPrinted>2021-03-10T04:59:00Z</cp:lastPrinted>
  <dcterms:created xsi:type="dcterms:W3CDTF">2021-03-11T08:23:00Z</dcterms:created>
  <dcterms:modified xsi:type="dcterms:W3CDTF">2021-03-11T08:23:00Z</dcterms:modified>
</cp:coreProperties>
</file>